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63" w:rsidRPr="003A6DA5" w:rsidRDefault="00097163" w:rsidP="000971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D37832" w:rsidRPr="003A6DA5" w:rsidRDefault="00D37832" w:rsidP="00D378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</w:t>
      </w:r>
      <w:r w:rsidR="00C9786C">
        <w:rPr>
          <w:rFonts w:ascii="Times New Roman" w:hAnsi="Times New Roman" w:cs="Times New Roman"/>
          <w:b/>
          <w:sz w:val="24"/>
          <w:szCs w:val="24"/>
        </w:rPr>
        <w:t>«</w:t>
      </w:r>
      <w:r w:rsidRPr="003A6DA5">
        <w:rPr>
          <w:rFonts w:ascii="Times New Roman" w:hAnsi="Times New Roman" w:cs="Times New Roman"/>
          <w:b/>
          <w:sz w:val="24"/>
          <w:szCs w:val="24"/>
        </w:rPr>
        <w:t>ГБУЗ ПКБ№1 ДЗМ»)</w:t>
      </w:r>
    </w:p>
    <w:p w:rsidR="00D37832" w:rsidRDefault="00D37832" w:rsidP="00D37832"/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Аннотация рабочей программы «</w:t>
      </w:r>
      <w:r w:rsidR="005C4A37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ВЫСШЕГО ОБРАЗОВАНИЯ –</w:t>
      </w:r>
      <w:r w:rsidR="0083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A37">
        <w:rPr>
          <w:rFonts w:ascii="Times New Roman" w:hAnsi="Times New Roman" w:cs="Times New Roman"/>
          <w:b/>
          <w:sz w:val="24"/>
          <w:szCs w:val="24"/>
        </w:rPr>
        <w:t>ПРОГРАММА ПОДГОТОВКИ НАУЧНО-ПЕДАГОГИЧЕСКИХ КАДРОВ В АСПИРАНТУРЕ</w:t>
      </w:r>
      <w:r w:rsidRPr="00E843CB">
        <w:rPr>
          <w:rFonts w:ascii="Times New Roman" w:hAnsi="Times New Roman" w:cs="Times New Roman"/>
          <w:b/>
          <w:sz w:val="24"/>
          <w:szCs w:val="24"/>
        </w:rPr>
        <w:t>»</w:t>
      </w:r>
    </w:p>
    <w:p w:rsidR="00E66143" w:rsidRPr="00E66143" w:rsidRDefault="00E66143" w:rsidP="00E66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31.06.01</w:t>
      </w:r>
      <w:r w:rsidRPr="00E66143">
        <w:rPr>
          <w:rFonts w:ascii="Times New Roman" w:hAnsi="Times New Roman" w:cs="Times New Roman"/>
          <w:sz w:val="24"/>
          <w:szCs w:val="24"/>
        </w:rPr>
        <w:t xml:space="preserve"> Клиническая медицина</w:t>
      </w:r>
    </w:p>
    <w:p w:rsidR="00E843CB" w:rsidRDefault="00E66143" w:rsidP="00E66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(профиль подготовки </w:t>
      </w:r>
      <w:r w:rsidRPr="00E66143">
        <w:rPr>
          <w:rFonts w:ascii="Times New Roman" w:hAnsi="Times New Roman" w:cs="Times New Roman"/>
          <w:sz w:val="24"/>
          <w:szCs w:val="24"/>
        </w:rPr>
        <w:t>Психиатрия)</w:t>
      </w: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E843CB">
        <w:rPr>
          <w:rFonts w:ascii="Times New Roman" w:hAnsi="Times New Roman" w:cs="Times New Roman"/>
          <w:sz w:val="24"/>
          <w:szCs w:val="24"/>
        </w:rPr>
        <w:t>: очная</w:t>
      </w:r>
      <w:r w:rsidR="00A86AB1">
        <w:rPr>
          <w:rFonts w:ascii="Times New Roman" w:hAnsi="Times New Roman" w:cs="Times New Roman"/>
          <w:sz w:val="24"/>
          <w:szCs w:val="24"/>
        </w:rPr>
        <w:t xml:space="preserve"> (3 года)</w:t>
      </w:r>
      <w:r w:rsidR="00971943">
        <w:rPr>
          <w:rFonts w:ascii="Times New Roman" w:hAnsi="Times New Roman" w:cs="Times New Roman"/>
          <w:sz w:val="24"/>
          <w:szCs w:val="24"/>
        </w:rPr>
        <w:t>, заочная</w:t>
      </w:r>
      <w:r w:rsidR="00A86AB1">
        <w:rPr>
          <w:rFonts w:ascii="Times New Roman" w:hAnsi="Times New Roman" w:cs="Times New Roman"/>
          <w:sz w:val="24"/>
          <w:szCs w:val="24"/>
        </w:rPr>
        <w:t xml:space="preserve"> (4 года)</w:t>
      </w:r>
    </w:p>
    <w:p w:rsidR="0061042B" w:rsidRDefault="006104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r w:rsidR="00E66143">
        <w:rPr>
          <w:rFonts w:ascii="Times New Roman" w:hAnsi="Times New Roman" w:cs="Times New Roman"/>
          <w:sz w:val="24"/>
          <w:szCs w:val="24"/>
        </w:rPr>
        <w:t>Исследователь. Преподаватель-исследователь</w:t>
      </w:r>
    </w:p>
    <w:p w:rsidR="0061042B" w:rsidRDefault="0061042B" w:rsidP="00E84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3CB" w:rsidRPr="0061042B" w:rsidRDefault="00E843CB" w:rsidP="00E843C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04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Курс:</w:t>
      </w:r>
    </w:p>
    <w:p w:rsidR="00E843CB" w:rsidRPr="0061042B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>Объем в часах</w:t>
      </w:r>
      <w:r w:rsidR="003A1DE5"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5C4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6480</w:t>
      </w:r>
      <w:r w:rsidR="003A1DE5"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C4A37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C4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контактная работа, </w:t>
      </w:r>
    </w:p>
    <w:p w:rsidR="00E843CB" w:rsidRPr="0061042B" w:rsidRDefault="005C4A37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включая аудиторную</w:t>
      </w:r>
      <w:r w:rsidR="0048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1188</w:t>
      </w:r>
    </w:p>
    <w:p w:rsidR="005C4A37" w:rsidRDefault="003A1DE5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843CB"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</w:t>
      </w:r>
      <w:r w:rsidR="006D5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="00482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5C4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833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648</w:t>
      </w:r>
    </w:p>
    <w:p w:rsidR="00E843CB" w:rsidRPr="0061042B" w:rsidRDefault="005C4A37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Научно-исследовательская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 </w:t>
      </w:r>
      <w:r w:rsidR="0083353A">
        <w:rPr>
          <w:rFonts w:ascii="Times New Roman" w:hAnsi="Times New Roman" w:cs="Times New Roman"/>
          <w:color w:val="000000" w:themeColor="text1"/>
          <w:sz w:val="24"/>
          <w:szCs w:val="24"/>
        </w:rPr>
        <w:t>4644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E843CB" w:rsidRPr="0061042B" w:rsidRDefault="00E843CB" w:rsidP="00E843C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Общая трудоемкость </w:t>
      </w:r>
      <w:proofErr w:type="gramStart"/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дисциплины:</w:t>
      </w:r>
      <w:r w:rsidR="003A1DE5"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35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5C4A37">
        <w:rPr>
          <w:rFonts w:ascii="Times New Roman" w:hAnsi="Times New Roman" w:cs="Times New Roman"/>
          <w:color w:val="000000" w:themeColor="text1"/>
          <w:sz w:val="24"/>
          <w:szCs w:val="24"/>
        </w:rPr>
        <w:t>180</w:t>
      </w:r>
      <w:r w:rsidRPr="00610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ЗЕ</w:t>
      </w:r>
    </w:p>
    <w:p w:rsidR="0061042B" w:rsidRDefault="006104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E8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E843CB">
        <w:rPr>
          <w:rFonts w:ascii="Times New Roman" w:hAnsi="Times New Roman" w:cs="Times New Roman"/>
          <w:sz w:val="24"/>
          <w:szCs w:val="24"/>
        </w:rPr>
        <w:t xml:space="preserve">: </w:t>
      </w:r>
      <w:r w:rsidR="0083353A">
        <w:rPr>
          <w:rFonts w:ascii="Times New Roman" w:hAnsi="Times New Roman" w:cs="Times New Roman"/>
          <w:sz w:val="24"/>
          <w:szCs w:val="24"/>
        </w:rPr>
        <w:t>Итоговая аттестация</w:t>
      </w:r>
    </w:p>
    <w:p w:rsidR="0061042B" w:rsidRDefault="0061042B" w:rsidP="00E84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353A" w:rsidRPr="0083353A" w:rsidRDefault="00E843CB" w:rsidP="0083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A86AB1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6D5C66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8335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353A" w:rsidRPr="0083353A">
        <w:rPr>
          <w:rFonts w:ascii="Times New Roman" w:hAnsi="Times New Roman" w:cs="Times New Roman"/>
          <w:sz w:val="24"/>
          <w:szCs w:val="24"/>
        </w:rPr>
        <w:t>обеспечение качественной профессиональной подготовки научно-педагогических кадров в области Клинической медицины по видам профессиональной деятельности, реализуемым настоящей ОПОП ВО. Конкретизация этих целей реализуется в содержании разделов образовательной программы и выражается в совокупности компетенций, как результатов освоения образовательной программы.</w:t>
      </w:r>
    </w:p>
    <w:p w:rsidR="00E843CB" w:rsidRPr="00E843CB" w:rsidRDefault="00E843CB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2B" w:rsidRDefault="0061042B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CB" w:rsidRPr="00E843CB" w:rsidRDefault="00E843CB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A86AB1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985916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="006F3613">
        <w:rPr>
          <w:rFonts w:ascii="Times New Roman" w:hAnsi="Times New Roman" w:cs="Times New Roman"/>
          <w:b/>
          <w:sz w:val="24"/>
          <w:szCs w:val="24"/>
        </w:rPr>
        <w:t>:</w:t>
      </w: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1</w:t>
      </w:r>
      <w:r w:rsidRPr="003A1DE5">
        <w:rPr>
          <w:rFonts w:ascii="Times New Roman" w:hAnsi="Times New Roman" w:cs="Times New Roman"/>
          <w:sz w:val="24"/>
          <w:szCs w:val="24"/>
        </w:rPr>
        <w:tab/>
      </w:r>
      <w:r w:rsidR="006F3613">
        <w:rPr>
          <w:rFonts w:ascii="Times New Roman" w:hAnsi="Times New Roman" w:cs="Times New Roman"/>
          <w:sz w:val="24"/>
          <w:szCs w:val="24"/>
        </w:rPr>
        <w:t>З</w:t>
      </w:r>
      <w:r w:rsidRPr="003A1DE5">
        <w:rPr>
          <w:rFonts w:ascii="Times New Roman" w:hAnsi="Times New Roman" w:cs="Times New Roman"/>
          <w:sz w:val="24"/>
          <w:szCs w:val="24"/>
        </w:rPr>
        <w:t xml:space="preserve">нать: основные </w:t>
      </w:r>
      <w:r w:rsidR="006D5C66">
        <w:rPr>
          <w:rFonts w:ascii="Times New Roman" w:hAnsi="Times New Roman" w:cs="Times New Roman"/>
          <w:sz w:val="24"/>
          <w:szCs w:val="24"/>
        </w:rPr>
        <w:t xml:space="preserve">правовые и организационные принципы охраны здоровья граждан, </w:t>
      </w:r>
      <w:r w:rsidR="006D5C66" w:rsidRPr="006D5C66">
        <w:rPr>
          <w:rFonts w:ascii="Times New Roman" w:hAnsi="Times New Roman" w:cs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</w:t>
      </w:r>
      <w:r w:rsidR="006D5C66">
        <w:rPr>
          <w:rFonts w:ascii="Times New Roman" w:hAnsi="Times New Roman" w:cs="Times New Roman"/>
          <w:sz w:val="24"/>
          <w:szCs w:val="24"/>
        </w:rPr>
        <w:t>;</w:t>
      </w: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2</w:t>
      </w:r>
      <w:r w:rsidRPr="003A1DE5">
        <w:rPr>
          <w:rFonts w:ascii="Times New Roman" w:hAnsi="Times New Roman" w:cs="Times New Roman"/>
          <w:sz w:val="24"/>
          <w:szCs w:val="24"/>
        </w:rPr>
        <w:tab/>
        <w:t xml:space="preserve">уметь: </w:t>
      </w:r>
      <w:r w:rsidR="006D5C66">
        <w:rPr>
          <w:rFonts w:ascii="Times New Roman" w:hAnsi="Times New Roman" w:cs="Times New Roman"/>
          <w:sz w:val="24"/>
          <w:szCs w:val="24"/>
        </w:rPr>
        <w:t>применять приобретенные компетенции по отношению к о</w:t>
      </w:r>
      <w:r w:rsidR="006D5C66" w:rsidRPr="006D5C66">
        <w:rPr>
          <w:rFonts w:ascii="Times New Roman" w:hAnsi="Times New Roman" w:cs="Times New Roman"/>
          <w:sz w:val="24"/>
          <w:szCs w:val="24"/>
        </w:rPr>
        <w:t xml:space="preserve">бъектам профессиональной деятельности выпускников, освоивших программу аспирантуры, </w:t>
      </w:r>
      <w:r w:rsidR="006D5C66">
        <w:rPr>
          <w:rFonts w:ascii="Times New Roman" w:hAnsi="Times New Roman" w:cs="Times New Roman"/>
          <w:sz w:val="24"/>
          <w:szCs w:val="24"/>
        </w:rPr>
        <w:t xml:space="preserve">каковыми </w:t>
      </w:r>
      <w:r w:rsidR="006D5C66" w:rsidRPr="006D5C66">
        <w:rPr>
          <w:rFonts w:ascii="Times New Roman" w:hAnsi="Times New Roman" w:cs="Times New Roman"/>
          <w:sz w:val="24"/>
          <w:szCs w:val="24"/>
        </w:rPr>
        <w:t>являются: физические лица; население; юридические лица; биологические объекты;</w:t>
      </w:r>
    </w:p>
    <w:p w:rsidR="003A1DE5" w:rsidRPr="003A1DE5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CB" w:rsidRPr="00E843CB" w:rsidRDefault="003A1DE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DE5">
        <w:rPr>
          <w:rFonts w:ascii="Times New Roman" w:hAnsi="Times New Roman" w:cs="Times New Roman"/>
          <w:sz w:val="24"/>
          <w:szCs w:val="24"/>
        </w:rPr>
        <w:t>3</w:t>
      </w:r>
      <w:r w:rsidRPr="003A1DE5">
        <w:rPr>
          <w:rFonts w:ascii="Times New Roman" w:hAnsi="Times New Roman" w:cs="Times New Roman"/>
          <w:sz w:val="24"/>
          <w:szCs w:val="24"/>
        </w:rPr>
        <w:tab/>
        <w:t xml:space="preserve">владеть: </w:t>
      </w:r>
      <w:r w:rsidR="006D5C66">
        <w:rPr>
          <w:rFonts w:ascii="Times New Roman" w:hAnsi="Times New Roman" w:cs="Times New Roman"/>
          <w:sz w:val="24"/>
          <w:szCs w:val="24"/>
        </w:rPr>
        <w:t xml:space="preserve">основами </w:t>
      </w:r>
      <w:r w:rsidR="006D5C66" w:rsidRPr="006D5C66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деятельности, </w:t>
      </w:r>
      <w:r w:rsidR="006D5C66">
        <w:rPr>
          <w:rFonts w:ascii="Times New Roman" w:hAnsi="Times New Roman" w:cs="Times New Roman"/>
          <w:sz w:val="24"/>
          <w:szCs w:val="24"/>
        </w:rPr>
        <w:t>к которым относятся</w:t>
      </w:r>
      <w:r w:rsidR="006D5C66" w:rsidRPr="006D5C66">
        <w:rPr>
          <w:rFonts w:ascii="Times New Roman" w:hAnsi="Times New Roman" w:cs="Times New Roman"/>
          <w:sz w:val="24"/>
          <w:szCs w:val="24"/>
        </w:rPr>
        <w:t>: научно-исследовательская деятельность в области охраны здоровья граждан, направленная на сохранение здоровья, улучшение качества и продолжительности жизни человека путем проведения прикладных исследований в биологии и медицине; преподавательская деятельность по образовательным программам высшего образования.</w:t>
      </w:r>
    </w:p>
    <w:p w:rsidR="005C1E25" w:rsidRDefault="005C1E25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B1" w:rsidRDefault="00A86AB1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AB1" w:rsidRDefault="00A86AB1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3CB" w:rsidRDefault="00E843CB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3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</w:t>
      </w:r>
      <w:r w:rsidR="00A86AB1"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985916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 w:rsidRPr="00E843CB">
        <w:rPr>
          <w:rFonts w:ascii="Times New Roman" w:hAnsi="Times New Roman" w:cs="Times New Roman"/>
          <w:b/>
          <w:sz w:val="24"/>
          <w:szCs w:val="24"/>
        </w:rPr>
        <w:t xml:space="preserve"> в структуре</w:t>
      </w:r>
      <w:r w:rsidR="00985916"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подготовки</w:t>
      </w:r>
      <w:r w:rsidRPr="00E843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91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85916" w:rsidRPr="00985916">
        <w:rPr>
          <w:rFonts w:ascii="Times New Roman" w:hAnsi="Times New Roman" w:cs="Times New Roman"/>
          <w:b/>
          <w:sz w:val="24"/>
          <w:szCs w:val="24"/>
        </w:rPr>
        <w:t>направлению 31.06.01 Клиническая медицина</w:t>
      </w:r>
    </w:p>
    <w:p w:rsidR="00985916" w:rsidRPr="00985916" w:rsidRDefault="00985916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916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определяет подготовку по направленности (профилю подготовки) </w:t>
      </w:r>
      <w:bookmarkStart w:id="0" w:name="_GoBack"/>
      <w:bookmarkEnd w:id="0"/>
      <w:r w:rsidRPr="00E66143">
        <w:rPr>
          <w:rFonts w:ascii="Times New Roman" w:hAnsi="Times New Roman" w:cs="Times New Roman"/>
          <w:sz w:val="24"/>
          <w:szCs w:val="24"/>
        </w:rPr>
        <w:t>Психиатрия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AB1" w:rsidRDefault="00A86AB1" w:rsidP="005C1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566" w:rsidRDefault="009E1566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566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</w:t>
      </w:r>
      <w:r w:rsidR="00A86AB1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DE5" w:rsidRDefault="00375B35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выпускника, освоившего программу аспирантуры должны быть сформированы</w:t>
      </w:r>
      <w:r w:rsidR="003A1DE5" w:rsidRPr="003A1DE5">
        <w:rPr>
          <w:rFonts w:ascii="Times New Roman" w:hAnsi="Times New Roman" w:cs="Times New Roman"/>
          <w:sz w:val="24"/>
          <w:szCs w:val="24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1DE5" w:rsidRPr="003A1DE5">
        <w:rPr>
          <w:rFonts w:ascii="Times New Roman" w:hAnsi="Times New Roman" w:cs="Times New Roman"/>
          <w:sz w:val="24"/>
          <w:szCs w:val="24"/>
        </w:rPr>
        <w:t xml:space="preserve"> универсальны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1DE5" w:rsidRPr="003A1DE5">
        <w:rPr>
          <w:rFonts w:ascii="Times New Roman" w:hAnsi="Times New Roman" w:cs="Times New Roman"/>
          <w:sz w:val="24"/>
          <w:szCs w:val="24"/>
        </w:rPr>
        <w:t xml:space="preserve"> (УК), общепрофессиональны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1DE5" w:rsidRPr="003A1DE5">
        <w:rPr>
          <w:rFonts w:ascii="Times New Roman" w:hAnsi="Times New Roman" w:cs="Times New Roman"/>
          <w:sz w:val="24"/>
          <w:szCs w:val="24"/>
        </w:rPr>
        <w:t xml:space="preserve"> (ОПК)</w:t>
      </w:r>
      <w:r w:rsidR="00684EB6">
        <w:rPr>
          <w:rFonts w:ascii="Times New Roman" w:hAnsi="Times New Roman" w:cs="Times New Roman"/>
          <w:sz w:val="24"/>
          <w:szCs w:val="24"/>
        </w:rPr>
        <w:t xml:space="preserve"> </w:t>
      </w:r>
      <w:r w:rsidR="00985916">
        <w:rPr>
          <w:rFonts w:ascii="Times New Roman" w:hAnsi="Times New Roman" w:cs="Times New Roman"/>
          <w:sz w:val="24"/>
          <w:szCs w:val="24"/>
        </w:rPr>
        <w:t>и профессиональны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85916">
        <w:rPr>
          <w:rFonts w:ascii="Times New Roman" w:hAnsi="Times New Roman" w:cs="Times New Roman"/>
          <w:sz w:val="24"/>
          <w:szCs w:val="24"/>
        </w:rPr>
        <w:t xml:space="preserve"> (ПК) </w:t>
      </w:r>
      <w:r w:rsidR="00684EB6">
        <w:rPr>
          <w:rFonts w:ascii="Times New Roman" w:hAnsi="Times New Roman" w:cs="Times New Roman"/>
          <w:sz w:val="24"/>
          <w:szCs w:val="24"/>
        </w:rPr>
        <w:t>компетенци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1DE5" w:rsidRPr="003A1DE5">
        <w:rPr>
          <w:rFonts w:ascii="Times New Roman" w:hAnsi="Times New Roman" w:cs="Times New Roman"/>
          <w:sz w:val="24"/>
          <w:szCs w:val="24"/>
        </w:rPr>
        <w:t>:</w:t>
      </w:r>
    </w:p>
    <w:p w:rsidR="00A86AB1" w:rsidRDefault="00A86AB1" w:rsidP="00375B35">
      <w:pPr>
        <w:rPr>
          <w:rFonts w:ascii="Times New Roman" w:hAnsi="Times New Roman" w:cs="Times New Roman"/>
          <w:sz w:val="24"/>
          <w:szCs w:val="24"/>
        </w:rPr>
      </w:pP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 xml:space="preserve"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 xml:space="preserve">- готовность участвовать в работе российских и международных исследовательских коллективов по решению научных и научно-образовательных задач (УК-3); </w:t>
      </w: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 xml:space="preserve">- готовность использовать современные методы и технологии научной коммуникации на государственном и иностранном языках (УК-4); </w:t>
      </w: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 xml:space="preserve">- способность следовать этическим нормам в профессиональной деятельности (УК-5); </w:t>
      </w: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>-способность планировать и решать задачи собственного профессионального и личностного развития (УК-6).</w:t>
      </w: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 xml:space="preserve">- способность и готовность к организации проведения прикладных научных исследований в области биологии и медицины (ОПК-1); </w:t>
      </w: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 xml:space="preserve">- способность и готовность к проведению прикладных научных исследований в области биологии и медицины (ОПК-2); </w:t>
      </w: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 xml:space="preserve">- способность и готовность к анализу, обобщению и публичному представлению результатов выполненных научных исследований (ОПК-3); </w:t>
      </w: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 xml:space="preserve">- готовность к внедрению разработанных методов и методик, направленных на охрану здоровья граждан (ОПК-4); </w:t>
      </w: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 xml:space="preserve">- способность и готовность к использованию лабораторной и инструментальной базы для получения научных данных (ОПК-5); </w:t>
      </w:r>
    </w:p>
    <w:p w:rsidR="00375B35" w:rsidRPr="00375B35" w:rsidRDefault="00375B35" w:rsidP="00375B35">
      <w:pPr>
        <w:rPr>
          <w:rFonts w:ascii="Times New Roman" w:hAnsi="Times New Roman" w:cs="Times New Roman"/>
          <w:sz w:val="24"/>
          <w:szCs w:val="24"/>
        </w:rPr>
      </w:pPr>
      <w:r w:rsidRPr="00375B35">
        <w:rPr>
          <w:rFonts w:ascii="Times New Roman" w:hAnsi="Times New Roman" w:cs="Times New Roman"/>
          <w:sz w:val="24"/>
          <w:szCs w:val="24"/>
        </w:rPr>
        <w:t>- готовность к преподавательской деятельности по образовательным программам высшего образования (ОПК-6).</w:t>
      </w:r>
    </w:p>
    <w:p w:rsidR="00375B35" w:rsidRPr="00375B35" w:rsidRDefault="00375B35" w:rsidP="00375B35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1" w:name="_Hlk512290713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к постановке диагноза на основании диагностического исследования в соответствии со специальностью</w:t>
      </w:r>
      <w:bookmarkEnd w:id="1"/>
      <w:r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(ПК-1);</w:t>
      </w:r>
    </w:p>
    <w:p w:rsidR="00375B35" w:rsidRPr="00375B35" w:rsidRDefault="00375B35" w:rsidP="00375B35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2" w:name="_Hlk512290730"/>
      <w:r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</w:t>
      </w:r>
      <w:r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состояния организма пациентов для своевременной диагностики патологических процессов</w:t>
      </w:r>
      <w:bookmarkEnd w:id="2"/>
      <w:r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(ПК-2);</w:t>
      </w:r>
    </w:p>
    <w:p w:rsidR="00375B35" w:rsidRPr="00375B35" w:rsidRDefault="00A86AB1" w:rsidP="00A86AB1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способность использовать алгоритм постановки диагноза (основного, сопутствующего, осложнений) с учётом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неотложных и угрожающих жизни состояний (ПК-3);</w:t>
      </w:r>
    </w:p>
    <w:p w:rsidR="00375B35" w:rsidRPr="00375B35" w:rsidRDefault="00A86AB1" w:rsidP="00A86AB1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3" w:name="_Hlk512292858"/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4" w:name="_Hlk512290781"/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и готовность выполнять основные лечебные мероприятия среди пациентов той или иной группы нозологических форм, способных вызвать тяжёлые осложнения и (или) летальный исход (особенности заболеваний нервной, иммунной, сердечно-сосудистой, эндокринной, дыхательной, пищеварительной, мочеполовой систем и крови); своевременно выявлять </w:t>
      </w:r>
      <w:proofErr w:type="spellStart"/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>жизнеопасные</w:t>
      </w:r>
      <w:proofErr w:type="spellEnd"/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нарушения, использовать методики их немедленного устранения, осуществлять противошоковые мероприятия</w:t>
      </w:r>
      <w:bookmarkEnd w:id="4"/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ПК-4;</w:t>
      </w:r>
    </w:p>
    <w:p w:rsidR="00375B35" w:rsidRPr="00375B35" w:rsidRDefault="00A86AB1" w:rsidP="00A86AB1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Hlk512317983"/>
      <w:bookmarkStart w:id="6" w:name="_Hlk512293023"/>
      <w:bookmarkEnd w:id="3"/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способность и готовность назначать адекватное лечение в соответствии с поставленным диагнозом, осуществлять алгоритм выбора медикаментозной и немедикаментозной терапии ПК-5;</w:t>
      </w:r>
    </w:p>
    <w:bookmarkEnd w:id="5"/>
    <w:p w:rsidR="00375B35" w:rsidRPr="00375B35" w:rsidRDefault="00A86AB1" w:rsidP="00A86AB1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применять различные реабилитационные мероприятия (медицинские, социальные, психологические) при наиболее распространённых патологических состояниях и повреждениях организма ПК-6;</w:t>
      </w:r>
    </w:p>
    <w:p w:rsidR="00375B35" w:rsidRPr="00375B35" w:rsidRDefault="00A86AB1" w:rsidP="00A86AB1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способность и готовность давать рекомендации по выбору оптимального режима в период реабилитации больных, определять показания и противопоказания к назначению средств лечебной физкультуры, физиотерапии, рефлексотерапии, фитотерапии ПК-7;</w:t>
      </w:r>
    </w:p>
    <w:p w:rsidR="00375B35" w:rsidRPr="00375B35" w:rsidRDefault="00A86AB1" w:rsidP="00A86AB1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" w:name="_Hlk512320570"/>
      <w:bookmarkEnd w:id="6"/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8" w:name="_Hlk512290875"/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применять современные методики сбора и медико-статистического анализа информации о показателях здоровья в части распространённости патологии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 сохранению здоровья населения</w:t>
      </w:r>
      <w:bookmarkEnd w:id="8"/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ПК-8;</w:t>
      </w:r>
    </w:p>
    <w:p w:rsidR="00375B35" w:rsidRPr="00375B35" w:rsidRDefault="00A86AB1" w:rsidP="00A86AB1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9" w:name="_Hlk512318010"/>
      <w:bookmarkEnd w:id="7"/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способность и готовность использовать методы оценки природных и медико-социальных факторов в развитии инфекционных, паразитарных и неинфекционных болезней, проводить санитарно-просветительскую работу ПК-9;</w:t>
      </w:r>
    </w:p>
    <w:p w:rsidR="00375B35" w:rsidRPr="00375B35" w:rsidRDefault="00A86AB1" w:rsidP="00A86AB1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профиля специальности ПК-10;</w:t>
      </w:r>
    </w:p>
    <w:bookmarkEnd w:id="9"/>
    <w:p w:rsidR="00375B35" w:rsidRDefault="00A86AB1" w:rsidP="00A86AB1">
      <w:pPr>
        <w:autoSpaceDE w:val="0"/>
        <w:autoSpaceDN w:val="0"/>
        <w:adjustRightInd w:val="0"/>
        <w:spacing w:before="120" w:after="120"/>
        <w:jc w:val="both"/>
        <w:rPr>
          <w:rFonts w:eastAsia="Calibri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10" w:name="_Hlk512290929"/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и готовность использовать знания организационной структуры специальности,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профиля специальности, проводить оценку эффективности современных медико-организационных и социально-экономических технологий при оказании медицинских услуг пациентам</w:t>
      </w:r>
      <w:bookmarkEnd w:id="10"/>
      <w:r w:rsidR="00375B35" w:rsidRPr="00375B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ПК-11</w:t>
      </w:r>
      <w:r w:rsidR="00375B35" w:rsidRPr="00E1114A">
        <w:rPr>
          <w:rFonts w:eastAsia="Calibri"/>
          <w:color w:val="000000"/>
          <w:sz w:val="24"/>
          <w:szCs w:val="24"/>
        </w:rPr>
        <w:t>.</w:t>
      </w:r>
      <w:r w:rsidR="00375B35">
        <w:rPr>
          <w:rFonts w:eastAsia="Calibri"/>
          <w:color w:val="000000"/>
          <w:sz w:val="24"/>
          <w:szCs w:val="24"/>
        </w:rPr>
        <w:t xml:space="preserve"> </w:t>
      </w:r>
    </w:p>
    <w:p w:rsidR="00A86AB1" w:rsidRDefault="00A86AB1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B1" w:rsidRDefault="00A86AB1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AB1" w:rsidRDefault="00A86AB1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B35" w:rsidRDefault="00A86AB1" w:rsidP="005C1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A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Pr="00A86AB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49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5178"/>
        <w:gridCol w:w="1843"/>
        <w:gridCol w:w="1417"/>
      </w:tblGrid>
      <w:tr w:rsidR="00A86AB1" w:rsidRPr="00FD4BD5" w:rsidTr="00494B77">
        <w:trPr>
          <w:trHeight w:val="276"/>
          <w:tblHeader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outlineLvl w:val="2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I. Общая структура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Значение сведений</w:t>
            </w:r>
          </w:p>
        </w:tc>
      </w:tr>
      <w:tr w:rsidR="00A86AB1" w:rsidRPr="00FD4BD5" w:rsidTr="00494B77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Блок 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Дисциплины (модули)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A86AB1" w:rsidRPr="00FD4BD5" w:rsidTr="00494B77"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86AB1" w:rsidRPr="00FD4BD5" w:rsidRDefault="00A86AB1" w:rsidP="00B6021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Базовая часть: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A86AB1" w:rsidRPr="00FD4BD5" w:rsidTr="00494B77"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86AB1" w:rsidRPr="00FD4BD5" w:rsidRDefault="00A86AB1" w:rsidP="00B6021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Дисциплины (модули),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A86AB1" w:rsidRPr="00FD4BD5" w:rsidTr="00494B77"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6AB1" w:rsidRPr="00FD4BD5" w:rsidRDefault="00A86AB1" w:rsidP="00B6021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Вариативная часть: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</w:tr>
      <w:tr w:rsidR="00A86AB1" w:rsidRPr="00FD4BD5" w:rsidTr="00494B77"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6AB1" w:rsidRPr="00FD4BD5" w:rsidRDefault="00A86AB1" w:rsidP="00B6021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A86AB1" w:rsidRPr="00FD4BD5" w:rsidTr="00494B77"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6AB1" w:rsidRPr="00FD4BD5" w:rsidRDefault="00A86AB1" w:rsidP="00B6021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A86AB1" w:rsidRPr="00FD4BD5" w:rsidTr="00494B77"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6AB1" w:rsidRPr="00FD4BD5" w:rsidRDefault="00A86AB1" w:rsidP="00B6021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Дисциплина/дисциплины (модуль/модули), направленные на подготовку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A86AB1" w:rsidRPr="00FD4BD5" w:rsidTr="00494B77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Блок 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A86AB1" w:rsidRPr="00FD4BD5" w:rsidTr="00494B77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86AB1" w:rsidRPr="00FD4BD5" w:rsidRDefault="00A86AB1" w:rsidP="00B6021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  <w:tr w:rsidR="00A86AB1" w:rsidRPr="00FD4BD5" w:rsidTr="00494B77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Блок 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Научно-исследовательская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129</w:t>
            </w:r>
          </w:p>
        </w:tc>
      </w:tr>
      <w:tr w:rsidR="00A86AB1" w:rsidRPr="00FD4BD5" w:rsidTr="00494B77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129</w:t>
            </w:r>
          </w:p>
        </w:tc>
      </w:tr>
      <w:tr w:rsidR="00A86AB1" w:rsidRPr="00FD4BD5" w:rsidTr="00494B77"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Блок 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A86AB1" w:rsidRPr="00FD4BD5" w:rsidTr="00494B77"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A86AB1" w:rsidRPr="00FD4BD5" w:rsidRDefault="00A86AB1" w:rsidP="00B6021D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Базовая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Объем программы в зачетных единицах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180</w:t>
            </w: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II. Распределение учебной нагрузки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 xml:space="preserve">Объем программы обучения в I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Объем программы обучения во II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Объем программы обучения в III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Объем программы обучения в IV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Объем программы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180</w:t>
            </w: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III. Структура основной образовательной программы с учетом электронного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зачетные единицы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Доля образовательных программ,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outlineLvl w:val="2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V. Практическая деятельность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Наименование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Педагогическая практика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Использование специальных технологий в психиатрии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A86AB1" w:rsidRPr="00FD4BD5" w:rsidTr="00494B77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Способы проведения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Наименование способа проведения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86AB1" w:rsidRPr="00FD4BD5" w:rsidRDefault="00A86AB1" w:rsidP="00B6021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D4BD5">
              <w:rPr>
                <w:rFonts w:ascii="Times New Roman" w:hAnsi="Times New Roman" w:cs="Times New Roman"/>
                <w:sz w:val="19"/>
                <w:szCs w:val="19"/>
              </w:rPr>
              <w:t>Стационарная и выездная</w:t>
            </w:r>
          </w:p>
        </w:tc>
      </w:tr>
    </w:tbl>
    <w:p w:rsidR="00E843CB" w:rsidRPr="003A1DE5" w:rsidRDefault="00375B35" w:rsidP="00A86AB1">
      <w:pPr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843CB" w:rsidRPr="003A1DE5" w:rsidSect="00494B77">
      <w:head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F3613">
      <w:pPr>
        <w:spacing w:after="0" w:line="240" w:lineRule="auto"/>
      </w:pPr>
      <w:r>
        <w:separator/>
      </w:r>
    </w:p>
  </w:endnote>
  <w:endnote w:type="continuationSeparator" w:id="0">
    <w:p w:rsidR="00000000" w:rsidRDefault="006F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F3613">
      <w:pPr>
        <w:spacing w:after="0" w:line="240" w:lineRule="auto"/>
      </w:pPr>
      <w:r>
        <w:separator/>
      </w:r>
    </w:p>
  </w:footnote>
  <w:footnote w:type="continuationSeparator" w:id="0">
    <w:p w:rsidR="00000000" w:rsidRDefault="006F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066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147AA" w:rsidRPr="00FB2B65" w:rsidRDefault="008D2993">
        <w:pPr>
          <w:pStyle w:val="a5"/>
          <w:jc w:val="center"/>
          <w:rPr>
            <w:rFonts w:ascii="Times New Roman" w:hAnsi="Times New Roman" w:cs="Times New Roman"/>
          </w:rPr>
        </w:pPr>
        <w:r w:rsidRPr="00FB2B65">
          <w:rPr>
            <w:rFonts w:ascii="Times New Roman" w:hAnsi="Times New Roman" w:cs="Times New Roman"/>
          </w:rPr>
          <w:fldChar w:fldCharType="begin"/>
        </w:r>
        <w:r w:rsidRPr="00FB2B65">
          <w:rPr>
            <w:rFonts w:ascii="Times New Roman" w:hAnsi="Times New Roman" w:cs="Times New Roman"/>
          </w:rPr>
          <w:instrText>PAGE   \* MERGEFORMAT</w:instrText>
        </w:r>
        <w:r w:rsidRPr="00FB2B65">
          <w:rPr>
            <w:rFonts w:ascii="Times New Roman" w:hAnsi="Times New Roman" w:cs="Times New Roman"/>
          </w:rPr>
          <w:fldChar w:fldCharType="separate"/>
        </w:r>
        <w:r w:rsidR="006F3613">
          <w:rPr>
            <w:rFonts w:ascii="Times New Roman" w:hAnsi="Times New Roman" w:cs="Times New Roman"/>
            <w:noProof/>
          </w:rPr>
          <w:t>1</w:t>
        </w:r>
        <w:r w:rsidRPr="00FB2B65">
          <w:rPr>
            <w:rFonts w:ascii="Times New Roman" w:hAnsi="Times New Roman" w:cs="Times New Roman"/>
          </w:rPr>
          <w:fldChar w:fldCharType="end"/>
        </w:r>
      </w:p>
    </w:sdtContent>
  </w:sdt>
  <w:p w:rsidR="00D147AA" w:rsidRDefault="006F36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CB"/>
    <w:rsid w:val="000522CE"/>
    <w:rsid w:val="00097163"/>
    <w:rsid w:val="000A57CD"/>
    <w:rsid w:val="001F4042"/>
    <w:rsid w:val="00293D32"/>
    <w:rsid w:val="00327DF7"/>
    <w:rsid w:val="00375B35"/>
    <w:rsid w:val="003A1DE5"/>
    <w:rsid w:val="00450D07"/>
    <w:rsid w:val="004824C1"/>
    <w:rsid w:val="00494B77"/>
    <w:rsid w:val="005C1E25"/>
    <w:rsid w:val="005C4A37"/>
    <w:rsid w:val="005E70FA"/>
    <w:rsid w:val="0061042B"/>
    <w:rsid w:val="00684EB6"/>
    <w:rsid w:val="006D5C66"/>
    <w:rsid w:val="006F3613"/>
    <w:rsid w:val="0083353A"/>
    <w:rsid w:val="008D2993"/>
    <w:rsid w:val="009412AF"/>
    <w:rsid w:val="00971943"/>
    <w:rsid w:val="00985916"/>
    <w:rsid w:val="009E1566"/>
    <w:rsid w:val="00A86AB1"/>
    <w:rsid w:val="00BD4353"/>
    <w:rsid w:val="00C9786C"/>
    <w:rsid w:val="00D37832"/>
    <w:rsid w:val="00D720EE"/>
    <w:rsid w:val="00E66143"/>
    <w:rsid w:val="00E843CB"/>
    <w:rsid w:val="00FA3F61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E8C50-6408-4357-84D3-E2516F9C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16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37832"/>
  </w:style>
  <w:style w:type="paragraph" w:customStyle="1" w:styleId="ConsPlusNormal">
    <w:name w:val="ConsPlusNormal"/>
    <w:rsid w:val="00A86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6AB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6A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Сорокин</dc:creator>
  <cp:lastModifiedBy>Березанцев Андрей Юрьевич</cp:lastModifiedBy>
  <cp:revision>5</cp:revision>
  <dcterms:created xsi:type="dcterms:W3CDTF">2018-12-12T08:20:00Z</dcterms:created>
  <dcterms:modified xsi:type="dcterms:W3CDTF">2018-12-14T08:05:00Z</dcterms:modified>
</cp:coreProperties>
</file>